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0" w:name="_GoBack"/>
      <w:sdt>
        <w:sdtPr>
          <w:rPr>
            <w:color w:val="808080" w:themeColor="background1" w:themeShade="80"/>
          </w:rPr>
          <w:id w:val="-624001209"/>
          <w:placeholder>
            <w:docPart w:val="974C9443B3E343BEAA60B58A3F9D1CB7"/>
          </w:placeholder>
          <w15:color w:val="000000"/>
          <w15:appearance w15:val="hidden"/>
        </w:sdtPr>
        <w:sdtEndPr/>
        <w:sdtContent>
          <w:permStart w:id="1557728368" w:edGrp="everyone"/>
          <w:r w:rsidR="00C90A94">
            <w:t>Gestionnaire comptable</w:t>
          </w:r>
          <w:r w:rsidR="008050C7" w:rsidRPr="008050C7">
            <w:t xml:space="preserve"> et </w:t>
          </w:r>
          <w:r w:rsidR="008050C7">
            <w:t xml:space="preserve"> </w:t>
          </w:r>
          <w:r w:rsidR="00C229A5">
            <w:t>administratif</w:t>
          </w:r>
          <w:r w:rsidR="008050C7" w:rsidRPr="008050C7">
            <w:t xml:space="preserve"> </w:t>
          </w:r>
          <w:r w:rsidR="00AD4936">
            <w:t>des Bibliothèques municipales de Rennes</w:t>
          </w:r>
          <w:permEnd w:id="1557728368"/>
        </w:sdtContent>
      </w:sdt>
      <w:bookmarkEnd w:id="0"/>
      <w:r w:rsidR="00CC2FE8" w:rsidRPr="00CC2FE8">
        <w:t xml:space="preserve"> </w:t>
      </w:r>
    </w:p>
    <w:p w:rsidR="006B0497" w:rsidRPr="0062708C" w:rsidRDefault="00AC7FC9"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765269477" w:edGrp="everyone"/>
          <w:r w:rsidR="00C229A5">
            <w:t>Adjoint administratif C</w:t>
          </w:r>
          <w:permEnd w:id="765269477"/>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520171496" w:edGrp="everyone"/>
          <w:r w:rsidR="00AD4936">
            <w:t>Ville de Rennes</w:t>
          </w:r>
          <w:permEnd w:id="520171496"/>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AC7FC9"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1831673273" w:edGrp="everyone"/>
          <w:r w:rsidR="009036A0">
            <w:t>Direction de la Culture</w:t>
          </w:r>
          <w:permEnd w:id="1831673273"/>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1408576519" w:edGrp="everyone"/>
          <w:r w:rsidR="009036A0">
            <w:t>498 postes permanents</w:t>
          </w:r>
          <w:permEnd w:id="1408576519"/>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168370177" w:edGrp="everyone"/>
          <w:r w:rsidR="00727967">
            <w:t xml:space="preserve">Composée </w:t>
          </w:r>
          <w:r w:rsidR="00727967" w:rsidRPr="00727967">
            <w:t>de services centraux mutualisés, de 6 équipements culturels municipaux et de 3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r w:rsidR="00727967">
            <w:t xml:space="preserve"> </w:t>
          </w:r>
          <w:r w:rsidR="009036A0" w:rsidRPr="009036A0">
            <w:t>.</w:t>
          </w:r>
          <w:permEnd w:id="168370177"/>
        </w:sdtContent>
      </w:sdt>
    </w:p>
    <w:p w:rsidR="005D07F4" w:rsidRDefault="00644A3A" w:rsidP="005D07F4">
      <w:pPr>
        <w:pStyle w:val="Style1"/>
      </w:pPr>
      <w:r>
        <w:rPr>
          <w:highlight w:val="black"/>
        </w:rPr>
        <w:br w:type="column"/>
      </w:r>
      <w:r w:rsidR="005D07F4" w:rsidRPr="00731272">
        <w:rPr>
          <w:highlight w:val="black"/>
        </w:rPr>
        <w:t>Service :</w:t>
      </w:r>
    </w:p>
    <w:p w:rsidR="00FC0746" w:rsidRDefault="00AC7FC9"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276849173" w:edGrp="everyone"/>
          <w:sdt>
            <w:sdtPr>
              <w:id w:val="-1618665273"/>
              <w:placeholder>
                <w:docPart w:val="F02CD98AC17145ECA7660D5B9D7728CF"/>
              </w:placeholder>
              <w15:color w:val="000000"/>
              <w15:appearance w15:val="hidden"/>
            </w:sdtPr>
            <w:sdtEndPr/>
            <w:sdtContent>
              <w:r w:rsidR="009C5C04" w:rsidRPr="009C5C04">
                <w:t>Bibliothèques municipales</w:t>
              </w:r>
            </w:sdtContent>
          </w:sdt>
          <w:r w:rsidR="009C5C04">
            <w:t xml:space="preserve"> </w:t>
          </w:r>
          <w:permEnd w:id="276849173"/>
        </w:sdtContent>
      </w:sdt>
    </w:p>
    <w:p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706349554" w:edGrp="everyone"/>
          <w:sdt>
            <w:sdtPr>
              <w:id w:val="326330242"/>
              <w:placeholder>
                <w:docPart w:val="B01D45D7F04B42B1BDB3729F3F6C6983"/>
              </w:placeholder>
              <w15:color w:val="000000"/>
              <w15:appearance w15:val="hidden"/>
            </w:sdtPr>
            <w:sdtEndPr/>
            <w:sdtContent>
              <w:r w:rsidR="009C5C04" w:rsidRPr="009C5C04">
                <w:t>Les équipes des Bibliothèques Municipales de Rennes ont pour mission : -D'accueillir et proposer des ressources à la population au sein des 11 bibliothèques de quartier. -D'accueillir les publics scolaires et de proposer des médiations, des dispositifs d'éducation artistique et culturelle dans les bibliothèques et les écoles -De proposer des collections et animations dans toute la ville : points lectures dans les immeubles, en prison, en maisons de retraite et dans les espaces publics</w:t>
              </w:r>
            </w:sdtContent>
          </w:sdt>
          <w:permEnd w:id="706349554"/>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1067209851" w:edGrp="everyone"/>
          <w:r w:rsidR="009C5C04">
            <w:t xml:space="preserve"> </w:t>
          </w:r>
          <w:sdt>
            <w:sdtPr>
              <w:id w:val="-2067790304"/>
              <w:placeholder>
                <w:docPart w:val="EFA5AC6BE2944BA5836872F990EBB9F8"/>
              </w:placeholder>
              <w15:color w:val="000000"/>
              <w15:appearance w15:val="hidden"/>
            </w:sdtPr>
            <w:sdtEndPr/>
            <w:sdtContent>
              <w:r w:rsidR="009C5C04" w:rsidRPr="009C5C04">
                <w:t>98 postes permanents, 115 agents</w:t>
              </w:r>
            </w:sdtContent>
          </w:sdt>
          <w:permEnd w:id="1067209851"/>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471947473" w:edGrp="everyone" w:displacedByCustomXml="prev"/>
        <w:p w:rsidR="00FA0FE0" w:rsidRPr="0062708C" w:rsidRDefault="00FA6332" w:rsidP="00247C3F">
          <w:pPr>
            <w:rPr>
              <w:color w:val="808080" w:themeColor="background1" w:themeShade="80"/>
            </w:rPr>
          </w:pPr>
          <w:r w:rsidRPr="00706DE3">
            <w:rPr>
              <w:sz w:val="18"/>
              <w:szCs w:val="18"/>
            </w:rPr>
            <w:t xml:space="preserve">Assurer la gestion de dossiers transversaux pour la bibliothèque municipale dans les domaines </w:t>
          </w:r>
          <w:r w:rsidR="00C229A5">
            <w:t xml:space="preserve">comptables et administratifs </w:t>
          </w:r>
          <w:r>
            <w:t>et dans l'intérêt du service et de la feuille de route...</w:t>
          </w:r>
        </w:p>
        <w:permEnd w:id="471947473" w:displacedByCustomXml="next"/>
      </w:sdtContent>
    </w:sdt>
    <w:p w:rsidR="00FA0FE0" w:rsidRPr="00FA0FE0" w:rsidRDefault="00FA0FE0" w:rsidP="00FA0FE0"/>
    <w:p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456411488" w:edGrp="everyone"/>
          <w:r w:rsidR="005547B5">
            <w:t>3</w:t>
          </w:r>
          <w:r w:rsidR="00C229A5">
            <w:t>5h</w:t>
          </w:r>
          <w:r w:rsidR="005547B5">
            <w:t xml:space="preserve"> </w:t>
          </w:r>
          <w:permEnd w:id="456411488"/>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1743605800" w:edGrp="everyone"/>
          <w:r w:rsidR="005547B5">
            <w:t>23 rue de Lorient principalement, et sur les différents sites des Bibliothèques de Rennes</w:t>
          </w:r>
          <w:permEnd w:id="1743605800"/>
        </w:sdtContent>
      </w:sdt>
    </w:p>
    <w:p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793322449" w:edGrp="everyone"/>
          <w:r w:rsidR="00D819B2">
            <w:t>Ordinateur portable</w:t>
          </w:r>
          <w:permEnd w:id="793322449"/>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15:color w:val="000000"/>
          <w15:appearance w15:val="hidden"/>
        </w:sdtPr>
        <w:sdtEndPr/>
        <w:sdtContent>
          <w:permStart w:id="1963736731" w:edGrp="everyone"/>
          <w:r w:rsidR="00227EC7">
            <w:t>suppléance</w:t>
          </w:r>
          <w:r w:rsidR="004B68EC">
            <w:t xml:space="preserve"> de l'agent chargé de l'accueil</w:t>
          </w:r>
          <w:r w:rsidR="005547B5">
            <w:t xml:space="preserve"> </w:t>
          </w:r>
          <w:permEnd w:id="1963736731"/>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362570308" w:edGrp="everyone"/>
          <w:r w:rsidR="00C229A5">
            <w:t>Non</w:t>
          </w:r>
          <w:permEnd w:id="362570308"/>
        </w:sdtContent>
      </w:sdt>
    </w:p>
    <w:p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showingPlcHdr/>
          <w15:color w:val="000000"/>
          <w15:appearance w15:val="hidden"/>
        </w:sdtPr>
        <w:sdtEndPr/>
        <w:sdtContent>
          <w:permStart w:id="288971632" w:edGrp="everyone"/>
          <w:r w:rsidRPr="0062708C">
            <w:rPr>
              <w:color w:val="808080" w:themeColor="background1" w:themeShade="80"/>
            </w:rPr>
            <w:t>Autres.</w:t>
          </w:r>
          <w:permEnd w:id="288971632"/>
        </w:sdtContent>
      </w:sdt>
    </w:p>
    <w:p w:rsidR="00B86F95" w:rsidRDefault="00B86F95" w:rsidP="007577C5">
      <w:pPr>
        <w:spacing w:after="0" w:line="360" w:lineRule="exact"/>
      </w:pPr>
    </w:p>
    <w:p w:rsidR="005D07F4" w:rsidRDefault="00644A3A" w:rsidP="00FA0FE0">
      <w:r>
        <w:br w:type="column"/>
      </w:r>
      <w:r w:rsidR="00FC0746">
        <w:rPr>
          <w:rStyle w:val="Style1Car"/>
          <w:highlight w:val="black"/>
        </w:rPr>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1336303240" w:edGrp="everyone"/>
          <w:r w:rsidR="00C229A5">
            <w:t>Adjoint administratif</w:t>
          </w:r>
          <w:permEnd w:id="1336303240"/>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869947432" w:edGrp="everyone"/>
          <w:r w:rsidR="005547B5">
            <w:t>P</w:t>
          </w:r>
          <w:r w:rsidR="00227EC7">
            <w:t>2</w:t>
          </w:r>
          <w:permEnd w:id="869947432"/>
        </w:sdtContent>
      </w:sdt>
      <w:r>
        <w:rPr>
          <w:color w:val="808080" w:themeColor="background1" w:themeShade="80"/>
        </w:rPr>
        <w:t>.</w:t>
      </w:r>
    </w:p>
    <w:p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showingPlcHdr/>
          <w15:color w:val="000000"/>
          <w15:appearance w15:val="hidden"/>
        </w:sdtPr>
        <w:sdtEndPr/>
        <w:sdtContent>
          <w:permStart w:id="1341090184" w:edGrp="everyone"/>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ermEnd w:id="1341090184"/>
        </w:sdtContent>
      </w:sdt>
    </w:p>
    <w:p w:rsidR="005D07F4" w:rsidRPr="0062708C" w:rsidRDefault="005D07F4" w:rsidP="002517BF">
      <w:pPr>
        <w:spacing w:after="0" w:line="360" w:lineRule="exact"/>
        <w:rPr>
          <w:color w:val="808080" w:themeColor="background1" w:themeShade="80"/>
        </w:rPr>
      </w:pPr>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lastRenderedPageBreak/>
        <w:t xml:space="preserve">N° du poste : </w:t>
      </w:r>
      <w:sdt>
        <w:sdtPr>
          <w:rPr>
            <w:color w:val="808080" w:themeColor="background1" w:themeShade="80"/>
          </w:rPr>
          <w:id w:val="939107703"/>
          <w:placeholder>
            <w:docPart w:val="C19294DCA4454FB3A61270636AB0FB54"/>
          </w:placeholder>
          <w15:color w:val="000000"/>
          <w15:appearance w15:val="hidden"/>
          <w:text/>
        </w:sdtPr>
        <w:sdtEndPr/>
        <w:sdtContent>
          <w:permStart w:id="2073836357" w:edGrp="everyone"/>
          <w:r w:rsidR="00227EC7">
            <w:t>00417</w:t>
          </w:r>
          <w:permEnd w:id="2073836357"/>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362555408" w:edGrp="everyone"/>
          <w:r w:rsidR="001D0204">
            <w:t>03/1</w:t>
          </w:r>
          <w:r w:rsidR="00C229A5">
            <w:t>2</w:t>
          </w:r>
          <w:r w:rsidR="001D0204">
            <w:t>/2025</w:t>
          </w:r>
          <w:permEnd w:id="362555408"/>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rsidR="001C2759" w:rsidRPr="00576D3F" w:rsidRDefault="001C2759" w:rsidP="0062708C">
      <w:r>
        <w:rPr>
          <w:highlight w:val="black"/>
        </w:rPr>
        <w:br w:type="page"/>
      </w:r>
    </w:p>
    <w:p w:rsidR="006C0253" w:rsidRPr="009B220B" w:rsidRDefault="005D07F4" w:rsidP="005D07F4">
      <w:pPr>
        <w:pStyle w:val="Style1"/>
        <w:rPr>
          <w:highlight w:val="black"/>
        </w:rPr>
      </w:pPr>
      <w:r w:rsidRPr="00731272">
        <w:rPr>
          <w:highlight w:val="black"/>
        </w:rPr>
        <w:lastRenderedPageBreak/>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335901023" w:edGrp="everyone"/>
          <w:r w:rsidR="00227EC7" w:rsidRPr="00227EC7">
            <w:t>Gestion juridique, financière et administrative de l'action culturelle</w:t>
          </w:r>
          <w:r w:rsidR="00227EC7">
            <w:t xml:space="preserve"> </w:t>
          </w:r>
          <w:r w:rsidR="00052F2D">
            <w:t>(5</w:t>
          </w:r>
          <w:r w:rsidR="00B17EA7">
            <w:t>0%)</w:t>
          </w:r>
          <w:permEnd w:id="335901023"/>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1523712098" w:edGrp="everyone" w:displacedByCustomXml="prev"/>
        <w:p w:rsidR="00D669D3" w:rsidRPr="0062708C" w:rsidRDefault="0084185C" w:rsidP="00D669D3">
          <w:pPr>
            <w:rPr>
              <w:color w:val="808080" w:themeColor="background1" w:themeShade="80"/>
            </w:rPr>
          </w:pPr>
          <w:r>
            <w:t>E</w:t>
          </w:r>
          <w:r w:rsidRPr="001A37FE">
            <w:rPr>
              <w:rFonts w:ascii="Arial" w:eastAsia="Times New Roman" w:hAnsi="Arial" w:cs="Times New Roman"/>
              <w:bCs/>
              <w:color w:val="000000" w:themeColor="text1"/>
              <w:szCs w:val="24"/>
              <w:lang w:eastAsia="fr-FR"/>
            </w:rPr>
            <w:t>n lien avec la respo</w:t>
          </w:r>
          <w:r>
            <w:rPr>
              <w:rFonts w:ascii="Arial" w:eastAsia="Times New Roman" w:hAnsi="Arial" w:cs="Times New Roman"/>
              <w:bCs/>
              <w:color w:val="000000" w:themeColor="text1"/>
              <w:szCs w:val="24"/>
              <w:lang w:eastAsia="fr-FR"/>
            </w:rPr>
            <w:t>nsable des actions culturelles</w:t>
          </w:r>
          <w:r>
            <w:t xml:space="preserve"> et </w:t>
          </w:r>
          <w:r w:rsidRPr="001A37FE">
            <w:rPr>
              <w:rFonts w:ascii="Arial" w:eastAsia="Times New Roman" w:hAnsi="Arial" w:cs="Times New Roman"/>
              <w:bCs/>
              <w:color w:val="000000" w:themeColor="text1"/>
              <w:szCs w:val="24"/>
              <w:lang w:eastAsia="fr-FR"/>
            </w:rPr>
            <w:t>la responsable du MAE</w:t>
          </w:r>
          <w:r>
            <w:t xml:space="preserve"> (médiation-action éducative) :</w:t>
          </w:r>
          <w:r>
            <w:br/>
          </w:r>
          <w:r>
            <w:rPr>
              <w:color w:val="808080" w:themeColor="background1" w:themeShade="80"/>
            </w:rPr>
            <w:br/>
          </w:r>
          <w:r>
            <w:t>&gt; Planification des interventions liées à l'action culturelle et à la médiation-action éducative :</w:t>
          </w:r>
          <w:r>
            <w:br/>
            <w:t>p</w:t>
          </w:r>
          <w:r w:rsidRPr="00B80A04">
            <w:rPr>
              <w:rFonts w:ascii="Arial" w:eastAsia="Times New Roman" w:hAnsi="Arial" w:cs="Times New Roman"/>
              <w:szCs w:val="20"/>
              <w:lang w:eastAsia="fr-FR"/>
            </w:rPr>
            <w:t>oints réguliers</w:t>
          </w:r>
          <w:r>
            <w:t xml:space="preserve"> avec les responsables </w:t>
          </w:r>
          <w:r w:rsidRPr="00B80A04">
            <w:rPr>
              <w:rFonts w:ascii="Arial" w:eastAsia="Times New Roman" w:hAnsi="Arial" w:cs="Times New Roman"/>
              <w:szCs w:val="20"/>
              <w:lang w:eastAsia="fr-FR"/>
            </w:rPr>
            <w:t>sur la planification et l</w:t>
          </w:r>
          <w:r>
            <w:rPr>
              <w:rFonts w:ascii="Arial" w:eastAsia="Times New Roman" w:hAnsi="Arial" w:cs="Times New Roman"/>
              <w:szCs w:val="20"/>
              <w:lang w:eastAsia="fr-FR"/>
            </w:rPr>
            <w:t xml:space="preserve">'avancement des dossiers </w:t>
          </w:r>
          <w:r>
            <w:br/>
          </w:r>
          <w:r>
            <w:rPr>
              <w:color w:val="808080" w:themeColor="background1" w:themeShade="80"/>
            </w:rPr>
            <w:br/>
          </w:r>
          <w:r>
            <w:t xml:space="preserve">&gt; </w:t>
          </w:r>
          <w:r w:rsidRPr="00120D7E">
            <w:rPr>
              <w:rFonts w:ascii="Arial" w:eastAsia="Times New Roman" w:hAnsi="Arial" w:cs="Times New Roman"/>
              <w:szCs w:val="24"/>
              <w:lang w:eastAsia="fr-FR"/>
            </w:rPr>
            <w:t>Gestion des interventions liées à l'action culturelle en fonction du statut des intervenants</w:t>
          </w:r>
          <w:r>
            <w:t xml:space="preserve"> :</w:t>
          </w:r>
          <w:r>
            <w:br/>
            <w:t>Déclaration des intervenants auprès du GUSO (guichet unique du spectacle occasionnel) : déclaration préalable à l'embauche, simulation des cotisations, déclaration unique et simplifiée – Communication du dossier à la DRH pour paiement ; Établissement des lettres d'engagement pour embauche de vacataires intervenants extérieurs, montage du dossier et transmission à la DRH pour paiement ; au vu des devis des intervenants (particuliers, artistes, associations, compagnies …), établissement de contrats, de bons de commande (avec engagement financier), mandatement des factures</w:t>
          </w:r>
          <w:r>
            <w:br/>
          </w:r>
          <w:r>
            <w:br/>
            <w:t xml:space="preserve">&gt; </w:t>
          </w:r>
          <w:r w:rsidRPr="00E26634">
            <w:rPr>
              <w:rFonts w:ascii="Arial" w:eastAsia="Times New Roman" w:hAnsi="Arial" w:cs="Times New Roman"/>
              <w:bCs/>
              <w:szCs w:val="24"/>
              <w:lang w:eastAsia="fr-FR"/>
            </w:rPr>
            <w:t>Suivi financier des rémunérations des intervenants et des frais liés</w:t>
          </w:r>
          <w:r>
            <w:t xml:space="preserve"> :</w:t>
          </w:r>
          <w:r>
            <w:br/>
            <w:t>Gestion des</w:t>
          </w:r>
          <w:r w:rsidRPr="00022B79">
            <w:rPr>
              <w:iCs/>
              <w:color w:val="000000" w:themeColor="text1"/>
            </w:rPr>
            <w:t xml:space="preserve"> factures de rémunération des intervenants (hors GUSO et vacataires)</w:t>
          </w:r>
          <w:r>
            <w:t xml:space="preserve">, des </w:t>
          </w:r>
          <w:r w:rsidRPr="00460992">
            <w:rPr>
              <w:color w:val="000000" w:themeColor="text1"/>
            </w:rPr>
            <w:t>bons de co</w:t>
          </w:r>
          <w:r>
            <w:rPr>
              <w:color w:val="000000" w:themeColor="text1"/>
            </w:rPr>
            <w:t>mmande pour repas en restaurant</w:t>
          </w:r>
          <w:r>
            <w:t>, des a</w:t>
          </w:r>
          <w:r w:rsidRPr="00460992">
            <w:rPr>
              <w:color w:val="000000" w:themeColor="text1"/>
            </w:rPr>
            <w:t>ttestations de participation des convives</w:t>
          </w:r>
          <w:r>
            <w:rPr>
              <w:iCs/>
              <w:color w:val="000000" w:themeColor="text1"/>
            </w:rPr>
            <w:t xml:space="preserve"> </w:t>
          </w:r>
          <w:r>
            <w:rPr>
              <w:iCs/>
              <w:color w:val="000000" w:themeColor="text1"/>
            </w:rPr>
            <w:br/>
          </w:r>
          <w:r>
            <w:rPr>
              <w:color w:val="808080" w:themeColor="background1" w:themeShade="80"/>
            </w:rPr>
            <w:br/>
          </w:r>
          <w:r>
            <w:t xml:space="preserve">&gt; </w:t>
          </w:r>
          <w:r>
            <w:rPr>
              <w:rFonts w:ascii="Arial" w:eastAsia="Times New Roman" w:hAnsi="Arial" w:cs="Times New Roman"/>
              <w:bCs/>
              <w:color w:val="000000" w:themeColor="text1"/>
              <w:szCs w:val="24"/>
              <w:lang w:eastAsia="fr-FR"/>
            </w:rPr>
            <w:t>Déclarations réglementaires</w:t>
          </w:r>
          <w:r>
            <w:t xml:space="preserve"> </w:t>
          </w:r>
          <w:r w:rsidRPr="00FA17FE">
            <w:rPr>
              <w:rFonts w:ascii="Arial" w:eastAsia="Times New Roman" w:hAnsi="Arial" w:cs="Times New Roman"/>
              <w:bCs/>
              <w:color w:val="000000" w:themeColor="text1"/>
              <w:szCs w:val="24"/>
              <w:lang w:eastAsia="fr-FR"/>
            </w:rPr>
            <w:t>de</w:t>
          </w:r>
          <w:r>
            <w:t>s</w:t>
          </w:r>
          <w:r w:rsidRPr="00FA17FE">
            <w:rPr>
              <w:rFonts w:ascii="Arial" w:eastAsia="Times New Roman" w:hAnsi="Arial" w:cs="Times New Roman"/>
              <w:bCs/>
              <w:color w:val="000000" w:themeColor="text1"/>
              <w:szCs w:val="24"/>
              <w:lang w:eastAsia="fr-FR"/>
            </w:rPr>
            <w:t xml:space="preserve"> concerts et spectacles auprès de la SACEM et de la SACD</w:t>
          </w:r>
          <w:r>
            <w:rPr>
              <w:color w:val="808080" w:themeColor="background1" w:themeShade="80"/>
            </w:rPr>
            <w:t xml:space="preserve"> </w:t>
          </w:r>
          <w:r>
            <w:rPr>
              <w:color w:val="808080" w:themeColor="background1" w:themeShade="80"/>
            </w:rPr>
            <w:br/>
          </w:r>
          <w:r>
            <w:rPr>
              <w:color w:val="808080" w:themeColor="background1" w:themeShade="80"/>
            </w:rPr>
            <w:br/>
          </w:r>
          <w:r>
            <w:t xml:space="preserve">&gt; </w:t>
          </w:r>
          <w:r w:rsidRPr="00E6453E">
            <w:rPr>
              <w:rFonts w:ascii="Arial" w:eastAsia="Times New Roman" w:hAnsi="Arial" w:cs="Times New Roman"/>
              <w:bCs/>
              <w:color w:val="000000" w:themeColor="text1"/>
              <w:szCs w:val="24"/>
              <w:lang w:eastAsia="fr-FR"/>
            </w:rPr>
            <w:t>Organisation logistique des interventions</w:t>
          </w:r>
          <w:r>
            <w:t xml:space="preserve"> :</w:t>
          </w:r>
          <w:r>
            <w:br/>
            <w:t>D</w:t>
          </w:r>
          <w:r w:rsidRPr="00E6453E">
            <w:rPr>
              <w:rFonts w:ascii="Arial" w:eastAsia="Times New Roman" w:hAnsi="Arial" w:cs="Times New Roman"/>
              <w:bCs/>
              <w:color w:val="000000" w:themeColor="text1"/>
              <w:szCs w:val="24"/>
              <w:lang w:eastAsia="fr-FR"/>
            </w:rPr>
            <w:t>éplacements et hébergements des intervenants</w:t>
          </w:r>
          <w:r>
            <w:t xml:space="preserve">, </w:t>
          </w:r>
          <w:r w:rsidRPr="00AA37AE">
            <w:rPr>
              <w:rFonts w:ascii="Arial" w:eastAsia="Times New Roman" w:hAnsi="Arial" w:cs="Times New Roman"/>
              <w:bCs/>
              <w:color w:val="000000" w:themeColor="text1"/>
              <w:szCs w:val="24"/>
              <w:lang w:eastAsia="fr-FR"/>
            </w:rPr>
            <w:t>transports d'expositions</w:t>
          </w:r>
          <w:r>
            <w:t xml:space="preserve">, </w:t>
          </w:r>
          <w:r w:rsidRPr="00750AD5">
            <w:rPr>
              <w:rFonts w:ascii="Arial" w:eastAsia="Times New Roman" w:hAnsi="Arial" w:cs="Times New Roman"/>
              <w:bCs/>
              <w:color w:val="000000" w:themeColor="text1"/>
              <w:szCs w:val="24"/>
              <w:lang w:eastAsia="fr-FR"/>
            </w:rPr>
            <w:t>d'assurance des expositions</w:t>
          </w:r>
          <w:r w:rsidRPr="00E6453E">
            <w:rPr>
              <w:rFonts w:ascii="Arial" w:eastAsia="Times New Roman" w:hAnsi="Arial" w:cs="Times New Roman"/>
              <w:bCs/>
              <w:color w:val="000000" w:themeColor="text1"/>
              <w:szCs w:val="24"/>
              <w:lang w:eastAsia="fr-FR"/>
            </w:rPr>
            <w:t xml:space="preserve"> –</w:t>
          </w:r>
          <w:r>
            <w:rPr>
              <w:rFonts w:ascii="Arial" w:eastAsia="Times New Roman" w:hAnsi="Arial" w:cs="Times New Roman"/>
              <w:bCs/>
              <w:color w:val="000000" w:themeColor="text1"/>
              <w:szCs w:val="24"/>
              <w:lang w:eastAsia="fr-FR"/>
            </w:rPr>
            <w:br/>
          </w:r>
          <w:r w:rsidRPr="00E6453E">
            <w:rPr>
              <w:rFonts w:ascii="Arial" w:eastAsia="Times New Roman" w:hAnsi="Arial" w:cs="Times New Roman"/>
              <w:bCs/>
              <w:color w:val="000000" w:themeColor="text1"/>
              <w:szCs w:val="24"/>
              <w:lang w:eastAsia="fr-FR"/>
            </w:rPr>
            <w:t>Organisation des transports d'expositions pour les temps forts en lien avec la responsable des actions culturelles, la responsable du MAE et le transporteur.</w:t>
          </w:r>
          <w:r>
            <w:rPr>
              <w:rFonts w:ascii="Arial" w:eastAsia="Times New Roman" w:hAnsi="Arial" w:cs="Times New Roman"/>
              <w:bCs/>
              <w:color w:val="000000" w:themeColor="text1"/>
              <w:szCs w:val="24"/>
              <w:lang w:eastAsia="fr-FR"/>
            </w:rPr>
            <w:br/>
          </w:r>
          <w:r w:rsidRPr="00E6453E">
            <w:rPr>
              <w:rFonts w:ascii="Arial" w:eastAsia="Times New Roman" w:hAnsi="Arial" w:cs="Times New Roman"/>
              <w:bCs/>
              <w:color w:val="000000" w:themeColor="text1"/>
              <w:szCs w:val="24"/>
              <w:lang w:eastAsia="fr-FR"/>
            </w:rPr>
            <w:t>Demande d'informations et mise en œuvre de la demande d'assurance des expositions avec l'assureur</w:t>
          </w:r>
          <w:r>
            <w:rPr>
              <w:color w:val="808080" w:themeColor="background1" w:themeShade="80"/>
            </w:rPr>
            <w:br/>
          </w:r>
        </w:p>
        <w:permEnd w:id="1523712098"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96941184" w:edGrp="everyone"/>
          <w:r w:rsidR="00227EC7" w:rsidRPr="00227EC7">
            <w:t>Suivi comptable et financier des acquisitions de documents et prestations de services liées aux collections</w:t>
          </w:r>
          <w:r w:rsidR="00227EC7">
            <w:t xml:space="preserve"> </w:t>
          </w:r>
          <w:r w:rsidR="00052F2D">
            <w:t>(30</w:t>
          </w:r>
          <w:r w:rsidR="00F237B9">
            <w:t>%)</w:t>
          </w:r>
          <w:permEnd w:id="196941184"/>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386550242" w:edGrp="everyone" w:displacedByCustomXml="prev"/>
        <w:p w:rsidR="00D669D3" w:rsidRPr="0062708C" w:rsidRDefault="00056C39" w:rsidP="00D669D3">
          <w:pPr>
            <w:rPr>
              <w:color w:val="808080" w:themeColor="background1" w:themeShade="80"/>
            </w:rPr>
          </w:pPr>
          <w:r>
            <w:t>En lien avec la responsable des collections :</w:t>
          </w:r>
          <w:r>
            <w:br/>
          </w:r>
          <w:r w:rsidR="002C06EA">
            <w:rPr>
              <w:color w:val="808080" w:themeColor="background1" w:themeShade="80"/>
            </w:rPr>
            <w:br/>
          </w:r>
          <w:r w:rsidR="002C06EA">
            <w:t>&gt; Gestion financière des acquisitions de documents et instruments de musique :</w:t>
          </w:r>
          <w:r w:rsidR="002C06EA">
            <w:br/>
            <w:t>En début de chaque année, préparation du fichier de suivi de l'exécution des marchés liés à l'acquisition d'ouvrages, CD, DVD et instruments de musique avec les informations fournies par le service Collections ;</w:t>
          </w:r>
          <w:r w:rsidR="002C06EA">
            <w:br/>
            <w:t>Gestion des relations avec les fournisseurs et les agents de la bibliothèque (contentieux…)</w:t>
          </w:r>
          <w:r w:rsidR="002C06EA">
            <w:br/>
          </w:r>
          <w:r w:rsidR="002C06EA">
            <w:br/>
            <w:t xml:space="preserve">&gt; Gestion financière des prestations de service liées aux collections : trains de reliure, maintenance des CD et DVD </w:t>
          </w:r>
          <w:r w:rsidR="002C06EA">
            <w:br/>
          </w:r>
          <w:r w:rsidR="002C06EA">
            <w:br/>
            <w:t>&gt; Gestion financière des abonnements périodiques :</w:t>
          </w:r>
          <w:r w:rsidR="002C06EA">
            <w:br/>
            <w:t>Transmission des listings mis à jour au prestataire pour le 15 octobre pour une prise en compte des abonnements par les éditeurs au 1er janvier, réactualisation des tarifs, suivi des réclamations auprès du prestataire, informations du prestataire sur les arrêts des quotidiens pendant les périodes de fermeture des bibliothèques.</w:t>
          </w:r>
          <w:r w:rsidR="002C06EA">
            <w:br/>
          </w:r>
          <w:r w:rsidR="002C06EA">
            <w:br/>
            <w:t>&gt; Gestion des déclarations SOFIA (déclaration d'achats de livres)</w:t>
          </w:r>
          <w:r w:rsidR="002C06EA">
            <w:br/>
            <w:t xml:space="preserve"> </w:t>
          </w:r>
        </w:p>
        <w:permEnd w:id="386550242"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909992386" w:edGrp="everyone"/>
          <w:r w:rsidR="00227EC7" w:rsidRPr="00227EC7">
            <w:t>Suivi budgétaire et exécution des marchés publics</w:t>
          </w:r>
          <w:r w:rsidR="00227EC7">
            <w:t xml:space="preserve"> et divers </w:t>
          </w:r>
          <w:r w:rsidR="00B17EA7">
            <w:t>(20%)</w:t>
          </w:r>
          <w:permEnd w:id="1909992386"/>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1013079414" w:edGrp="everyone" w:displacedByCustomXml="prev"/>
        <w:p w:rsidR="00D669D3" w:rsidRPr="0062708C" w:rsidRDefault="00056C39" w:rsidP="00D669D3">
          <w:pPr>
            <w:rPr>
              <w:color w:val="808080" w:themeColor="background1" w:themeShade="80"/>
            </w:rPr>
          </w:pPr>
          <w:r>
            <w:t>En lien avec la responsable administrative et financière :</w:t>
          </w:r>
          <w:r>
            <w:br/>
          </w:r>
          <w:r w:rsidR="002C06EA">
            <w:rPr>
              <w:color w:val="808080" w:themeColor="background1" w:themeShade="80"/>
            </w:rPr>
            <w:br/>
          </w:r>
          <w:r w:rsidR="002456C3">
            <w:t xml:space="preserve">&gt; </w:t>
          </w:r>
          <w:r w:rsidR="002C06EA">
            <w:t>Gestion budgétaire et comptable :</w:t>
          </w:r>
          <w:r w:rsidR="002C06EA">
            <w:br/>
            <w:t>Préparation et suivi des budgets en fonctionnement et en investissement</w:t>
          </w:r>
          <w:r w:rsidR="002C06EA">
            <w:br/>
            <w:t>Veille au respect de la qualité de l'exécution comptable en dépense et en recette</w:t>
          </w:r>
          <w:r w:rsidR="002C06EA">
            <w:br/>
          </w:r>
          <w:r w:rsidR="002C06EA">
            <w:rPr>
              <w:rFonts w:cs="Arial"/>
              <w:szCs w:val="18"/>
            </w:rPr>
            <w:br/>
          </w:r>
          <w:r w:rsidR="002C06EA">
            <w:t>&gt;</w:t>
          </w:r>
          <w:r w:rsidR="002456C3" w:rsidRPr="001C0EFC">
            <w:rPr>
              <w:rFonts w:cs="Arial"/>
              <w:szCs w:val="18"/>
            </w:rPr>
            <w:t>Gestion des dépenses</w:t>
          </w:r>
          <w:r w:rsidR="002456C3">
            <w:t xml:space="preserve"> :</w:t>
          </w:r>
          <w:r w:rsidR="002456C3">
            <w:br/>
          </w:r>
          <w:r w:rsidR="002456C3" w:rsidRPr="00B67BBC">
            <w:rPr>
              <w:rFonts w:ascii="Verdana" w:eastAsia="Times New Roman" w:hAnsi="Verdana" w:cs="Arial"/>
              <w:sz w:val="18"/>
              <w:szCs w:val="18"/>
              <w:lang w:eastAsia="fr-FR"/>
            </w:rPr>
            <w:t>Dans le respect des règles de la commande publique, établi</w:t>
          </w:r>
          <w:r w:rsidR="002C06EA">
            <w:t>ssement des</w:t>
          </w:r>
          <w:r w:rsidR="002456C3" w:rsidRPr="00B67BBC">
            <w:rPr>
              <w:rFonts w:ascii="Verdana" w:eastAsia="Times New Roman" w:hAnsi="Verdana" w:cs="Arial"/>
              <w:sz w:val="18"/>
              <w:szCs w:val="18"/>
              <w:lang w:eastAsia="fr-FR"/>
            </w:rPr>
            <w:t xml:space="preserve"> bons de commande dans le logiciel Grand Angle</w:t>
          </w:r>
          <w:r w:rsidR="002456C3">
            <w:rPr>
              <w:rFonts w:ascii="Verdana" w:eastAsia="Times New Roman" w:hAnsi="Verdana" w:cs="Arial"/>
              <w:sz w:val="18"/>
              <w:szCs w:val="18"/>
              <w:lang w:eastAsia="fr-FR"/>
            </w:rPr>
            <w:t>, t</w:t>
          </w:r>
          <w:r w:rsidR="002456C3" w:rsidRPr="00B67BBC">
            <w:rPr>
              <w:rFonts w:ascii="Verdana" w:eastAsia="Times New Roman" w:hAnsi="Verdana" w:cs="Arial"/>
              <w:sz w:val="18"/>
              <w:szCs w:val="18"/>
              <w:lang w:eastAsia="fr-FR"/>
            </w:rPr>
            <w:t>ransm</w:t>
          </w:r>
          <w:r w:rsidR="009328E9">
            <w:t>ission</w:t>
          </w:r>
          <w:r w:rsidR="002456C3">
            <w:rPr>
              <w:rFonts w:ascii="Verdana" w:eastAsia="Times New Roman" w:hAnsi="Verdana" w:cs="Arial"/>
              <w:sz w:val="18"/>
              <w:szCs w:val="18"/>
              <w:lang w:eastAsia="fr-FR"/>
            </w:rPr>
            <w:t xml:space="preserve"> aux fournisseurs</w:t>
          </w:r>
          <w:r w:rsidR="009328E9">
            <w:rPr>
              <w:rFonts w:ascii="Verdana" w:eastAsia="Times New Roman" w:hAnsi="Verdana" w:cs="Arial"/>
              <w:sz w:val="18"/>
              <w:szCs w:val="18"/>
              <w:lang w:eastAsia="fr-FR"/>
            </w:rPr>
            <w:t xml:space="preserve"> </w:t>
          </w:r>
          <w:r w:rsidR="009328E9">
            <w:t>d</w:t>
          </w:r>
          <w:r w:rsidR="002456C3" w:rsidRPr="00B67BBC">
            <w:rPr>
              <w:rFonts w:ascii="Verdana" w:eastAsia="Times New Roman" w:hAnsi="Verdana" w:cs="Arial"/>
              <w:sz w:val="18"/>
              <w:szCs w:val="18"/>
              <w:lang w:eastAsia="fr-FR"/>
            </w:rPr>
            <w:t>es bons de commande</w:t>
          </w:r>
          <w:r w:rsidR="002456C3">
            <w:rPr>
              <w:rFonts w:ascii="Verdana" w:eastAsia="Times New Roman" w:hAnsi="Verdana" w:cs="Arial"/>
              <w:sz w:val="18"/>
              <w:szCs w:val="18"/>
              <w:lang w:eastAsia="fr-FR"/>
            </w:rPr>
            <w:t>, e</w:t>
          </w:r>
          <w:r w:rsidR="002456C3" w:rsidRPr="00B67BBC">
            <w:rPr>
              <w:rFonts w:ascii="Verdana" w:eastAsia="Times New Roman" w:hAnsi="Verdana" w:cs="Arial"/>
              <w:sz w:val="18"/>
              <w:szCs w:val="18"/>
              <w:lang w:eastAsia="fr-FR"/>
            </w:rPr>
            <w:t>nregistre</w:t>
          </w:r>
          <w:r w:rsidR="009328E9">
            <w:t>ment d</w:t>
          </w:r>
          <w:r w:rsidR="002456C3" w:rsidRPr="00B67BBC">
            <w:rPr>
              <w:rFonts w:ascii="Verdana" w:eastAsia="Times New Roman" w:hAnsi="Verdana" w:cs="Arial"/>
              <w:sz w:val="18"/>
              <w:szCs w:val="18"/>
              <w:lang w:eastAsia="fr-FR"/>
            </w:rPr>
            <w:t>es bons de commande dans les tableaux de suivi (E-parapheur)</w:t>
          </w:r>
          <w:r w:rsidR="002456C3">
            <w:rPr>
              <w:rFonts w:ascii="Verdana" w:eastAsia="Times New Roman" w:hAnsi="Verdana" w:cs="Arial"/>
              <w:sz w:val="18"/>
              <w:szCs w:val="18"/>
              <w:lang w:eastAsia="fr-FR"/>
            </w:rPr>
            <w:t>, t</w:t>
          </w:r>
          <w:r w:rsidR="002456C3" w:rsidRPr="00B67BBC">
            <w:rPr>
              <w:rFonts w:ascii="Verdana" w:eastAsia="Times New Roman" w:hAnsi="Verdana" w:cs="Arial"/>
              <w:sz w:val="18"/>
              <w:szCs w:val="18"/>
              <w:lang w:eastAsia="fr-FR"/>
            </w:rPr>
            <w:t>raite</w:t>
          </w:r>
          <w:r w:rsidR="009328E9">
            <w:t>ment d</w:t>
          </w:r>
          <w:r w:rsidR="002456C3" w:rsidRPr="00B67BBC">
            <w:rPr>
              <w:rFonts w:ascii="Verdana" w:eastAsia="Times New Roman" w:hAnsi="Verdana" w:cs="Arial"/>
              <w:sz w:val="18"/>
              <w:szCs w:val="18"/>
              <w:lang w:eastAsia="fr-FR"/>
            </w:rPr>
            <w:t>es factures et prépar</w:t>
          </w:r>
          <w:r w:rsidR="009328E9">
            <w:t>ation d</w:t>
          </w:r>
          <w:r w:rsidR="002456C3">
            <w:t>es</w:t>
          </w:r>
          <w:r w:rsidR="002456C3" w:rsidRPr="00B67BBC">
            <w:rPr>
              <w:rFonts w:ascii="Verdana" w:eastAsia="Times New Roman" w:hAnsi="Verdana" w:cs="Arial"/>
              <w:sz w:val="18"/>
              <w:szCs w:val="18"/>
              <w:lang w:eastAsia="fr-FR"/>
            </w:rPr>
            <w:t xml:space="preserve"> mandats, enregistre</w:t>
          </w:r>
          <w:r w:rsidR="009328E9">
            <w:t>ment d</w:t>
          </w:r>
          <w:r w:rsidR="002456C3" w:rsidRPr="00B67BBC">
            <w:rPr>
              <w:rFonts w:ascii="Verdana" w:eastAsia="Times New Roman" w:hAnsi="Verdana" w:cs="Arial"/>
              <w:sz w:val="18"/>
              <w:szCs w:val="18"/>
              <w:lang w:eastAsia="fr-FR"/>
            </w:rPr>
            <w:t>es factures sur les tableaux dédiés</w:t>
          </w:r>
          <w:r w:rsidR="002456C3">
            <w:t xml:space="preserve">. </w:t>
          </w:r>
          <w:r w:rsidR="002456C3">
            <w:br/>
          </w:r>
          <w:r w:rsidR="002456C3">
            <w:br/>
            <w:t xml:space="preserve">&gt; </w:t>
          </w:r>
          <w:r w:rsidR="002456C3" w:rsidRPr="006B0075">
            <w:rPr>
              <w:szCs w:val="18"/>
            </w:rPr>
            <w:t>Gestion des recettes</w:t>
          </w:r>
          <w:r w:rsidR="002456C3">
            <w:t xml:space="preserve"> :</w:t>
          </w:r>
          <w:r w:rsidR="002456C3">
            <w:br/>
          </w:r>
          <w:r w:rsidR="002456C3">
            <w:rPr>
              <w:rFonts w:ascii="Verdana" w:eastAsia="Times New Roman" w:hAnsi="Verdana" w:cs="Times New Roman"/>
              <w:sz w:val="18"/>
              <w:szCs w:val="18"/>
              <w:lang w:eastAsia="fr-FR"/>
            </w:rPr>
            <w:lastRenderedPageBreak/>
            <w:t>Cré</w:t>
          </w:r>
          <w:r w:rsidR="009328E9">
            <w:t>ation</w:t>
          </w:r>
          <w:r w:rsidR="002456C3">
            <w:t xml:space="preserve"> </w:t>
          </w:r>
          <w:r w:rsidR="002456C3">
            <w:rPr>
              <w:rFonts w:ascii="Verdana" w:eastAsia="Times New Roman" w:hAnsi="Verdana" w:cs="Times New Roman"/>
              <w:sz w:val="18"/>
              <w:szCs w:val="18"/>
              <w:lang w:eastAsia="fr-FR"/>
            </w:rPr>
            <w:t>des</w:t>
          </w:r>
          <w:r w:rsidR="002456C3" w:rsidRPr="00E70122">
            <w:rPr>
              <w:rFonts w:ascii="Verdana" w:eastAsia="Times New Roman" w:hAnsi="Verdana" w:cs="Times New Roman"/>
              <w:sz w:val="18"/>
              <w:szCs w:val="18"/>
              <w:lang w:eastAsia="fr-FR"/>
            </w:rPr>
            <w:t xml:space="preserve"> tiers sur Grand Angle</w:t>
          </w:r>
          <w:r w:rsidR="002456C3">
            <w:rPr>
              <w:rFonts w:ascii="Verdana" w:eastAsia="Times New Roman" w:hAnsi="Verdana" w:cs="Times New Roman"/>
              <w:sz w:val="18"/>
              <w:szCs w:val="18"/>
              <w:lang w:eastAsia="fr-FR"/>
            </w:rPr>
            <w:t>, établi</w:t>
          </w:r>
          <w:r w:rsidR="009328E9">
            <w:t>ssement d</w:t>
          </w:r>
          <w:r w:rsidR="009328E9">
            <w:rPr>
              <w:rFonts w:ascii="Verdana" w:eastAsia="Times New Roman" w:hAnsi="Verdana" w:cs="Times New Roman"/>
              <w:sz w:val="18"/>
              <w:szCs w:val="18"/>
              <w:lang w:eastAsia="fr-FR"/>
            </w:rPr>
            <w:t>es titres de recettes, suiv</w:t>
          </w:r>
          <w:r w:rsidR="009328E9">
            <w:t>i d</w:t>
          </w:r>
          <w:r w:rsidR="002456C3" w:rsidRPr="00E70122">
            <w:rPr>
              <w:rFonts w:ascii="Verdana" w:eastAsia="Times New Roman" w:hAnsi="Verdana" w:cs="Times New Roman"/>
              <w:sz w:val="18"/>
              <w:szCs w:val="18"/>
              <w:lang w:eastAsia="fr-FR"/>
            </w:rPr>
            <w:t>es encaissements (contrôle périodique)</w:t>
          </w:r>
          <w:r w:rsidR="002456C3">
            <w:rPr>
              <w:rFonts w:ascii="Verdana" w:eastAsia="Times New Roman" w:hAnsi="Verdana" w:cs="Times New Roman"/>
              <w:sz w:val="18"/>
              <w:szCs w:val="18"/>
              <w:lang w:eastAsia="fr-FR"/>
            </w:rPr>
            <w:t>, p</w:t>
          </w:r>
          <w:r w:rsidR="002456C3" w:rsidRPr="00E70122">
            <w:rPr>
              <w:rFonts w:ascii="Verdana" w:eastAsia="Times New Roman" w:hAnsi="Verdana" w:cs="Times New Roman"/>
              <w:sz w:val="18"/>
              <w:szCs w:val="18"/>
              <w:lang w:eastAsia="fr-FR"/>
            </w:rPr>
            <w:t>répar</w:t>
          </w:r>
          <w:r w:rsidR="009328E9">
            <w:t>ation d</w:t>
          </w:r>
          <w:r w:rsidR="002456C3" w:rsidRPr="00E70122">
            <w:rPr>
              <w:rFonts w:ascii="Verdana" w:eastAsia="Times New Roman" w:hAnsi="Verdana" w:cs="Times New Roman"/>
              <w:sz w:val="18"/>
              <w:szCs w:val="18"/>
              <w:lang w:eastAsia="fr-FR"/>
            </w:rPr>
            <w:t>es décisions d'annulation du titre de recette avec établissement d'un certificat administratif</w:t>
          </w:r>
          <w:r w:rsidR="002456C3">
            <w:br/>
          </w:r>
          <w:r w:rsidR="002456C3">
            <w:rPr>
              <w:szCs w:val="18"/>
            </w:rPr>
            <w:br/>
          </w:r>
          <w:r w:rsidR="002456C3">
            <w:t xml:space="preserve">&gt; </w:t>
          </w:r>
          <w:r w:rsidR="002456C3" w:rsidRPr="00B97D9C">
            <w:rPr>
              <w:szCs w:val="18"/>
            </w:rPr>
            <w:t>Vie d'équipe</w:t>
          </w:r>
          <w:r w:rsidR="002456C3">
            <w:t xml:space="preserve"> :</w:t>
          </w:r>
          <w:r w:rsidR="002456C3">
            <w:br/>
          </w:r>
          <w:r w:rsidR="002456C3" w:rsidRPr="009248A4">
            <w:rPr>
              <w:rFonts w:ascii="Verdana" w:eastAsia="Times New Roman" w:hAnsi="Verdana" w:cs="Times New Roman"/>
              <w:sz w:val="18"/>
              <w:szCs w:val="18"/>
              <w:lang w:eastAsia="fr-FR"/>
            </w:rPr>
            <w:t>Participer aux réunions d'équipes ; participer à des points bilatéraux avec des cadres ; particip</w:t>
          </w:r>
          <w:r w:rsidR="002456C3">
            <w:t>er</w:t>
          </w:r>
          <w:r w:rsidR="009328E9">
            <w:rPr>
              <w:rFonts w:ascii="Verdana" w:eastAsia="Times New Roman" w:hAnsi="Verdana" w:cs="Times New Roman"/>
              <w:sz w:val="18"/>
              <w:szCs w:val="18"/>
              <w:lang w:eastAsia="fr-FR"/>
            </w:rPr>
            <w:t xml:space="preserve"> aux réunions </w:t>
          </w:r>
          <w:r w:rsidR="009328E9">
            <w:rPr>
              <w:rFonts w:ascii="Verdana" w:eastAsia="Times New Roman" w:hAnsi="Verdana" w:cs="Times New Roman"/>
              <w:sz w:val="18"/>
              <w:szCs w:val="18"/>
              <w:lang w:eastAsia="fr-FR"/>
            </w:rPr>
            <w:t>plénières</w:t>
          </w:r>
          <w:r w:rsidR="002456C3">
            <w:rPr>
              <w:rFonts w:ascii="Verdana" w:eastAsia="Times New Roman" w:hAnsi="Verdana" w:cs="Times New Roman"/>
              <w:sz w:val="18"/>
              <w:szCs w:val="18"/>
              <w:lang w:eastAsia="fr-FR"/>
            </w:rPr>
            <w:t>, p</w:t>
          </w:r>
          <w:r w:rsidR="002456C3" w:rsidRPr="009248A4">
            <w:rPr>
              <w:rFonts w:ascii="Verdana" w:eastAsia="Times New Roman" w:hAnsi="Verdana" w:cs="Times New Roman"/>
              <w:sz w:val="18"/>
              <w:szCs w:val="18"/>
              <w:lang w:eastAsia="fr-FR"/>
            </w:rPr>
            <w:t>articiper aux activités de l'équipe administration et logistique selon les besoins de service (pointages, préparation d'outils bureautiques, expédition de colis…).</w:t>
          </w:r>
          <w:r w:rsidR="002456C3">
            <w:rPr>
              <w:rFonts w:ascii="Verdana" w:eastAsia="Times New Roman" w:hAnsi="Verdana" w:cs="Times New Roman"/>
              <w:sz w:val="18"/>
              <w:szCs w:val="18"/>
              <w:lang w:eastAsia="fr-FR"/>
            </w:rPr>
            <w:br/>
          </w:r>
          <w:r w:rsidR="002456C3">
            <w:rPr>
              <w:szCs w:val="18"/>
            </w:rPr>
            <w:br/>
          </w:r>
          <w:r w:rsidR="002456C3">
            <w:t>&gt; Accueil du public (suppléances) :</w:t>
          </w:r>
          <w:r w:rsidR="002456C3">
            <w:br/>
            <w:t>Assurer l'a</w:t>
          </w:r>
          <w:r w:rsidR="002456C3" w:rsidRPr="000F04F8">
            <w:rPr>
              <w:rFonts w:ascii="Verdana" w:eastAsia="Times New Roman" w:hAnsi="Verdana" w:cs="Times New Roman"/>
              <w:sz w:val="18"/>
              <w:szCs w:val="18"/>
              <w:lang w:eastAsia="fr-FR"/>
            </w:rPr>
            <w:t>ccueil téléphonique (standard) et physique (livreurs…)</w:t>
          </w:r>
          <w:r w:rsidR="002456C3">
            <w:rPr>
              <w:szCs w:val="18"/>
            </w:rPr>
            <w:br/>
          </w:r>
        </w:p>
        <w:permEnd w:id="1013079414"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1204445025" w:edGrp="everyone" w:displacedByCustomXml="prev"/>
        <w:p w:rsidR="009A2444" w:rsidRDefault="009A2444" w:rsidP="009A2444"/>
        <w:p w:rsidR="009A2444" w:rsidRDefault="009A2444" w:rsidP="00247C3F">
          <w:pPr>
            <w:pStyle w:val="Bulletpoint"/>
          </w:pPr>
          <w:r w:rsidRPr="008D13B1">
            <w:t>Qualités relationnelles à l'écrit comme à l'oral, capacité à organiser le travail pour une équipe, sens de l'accueil, solidarité en équipe</w:t>
          </w:r>
        </w:p>
        <w:p w:rsidR="009A2444" w:rsidRDefault="009A2444" w:rsidP="00C20DF2">
          <w:pPr>
            <w:pStyle w:val="Bulletpoint"/>
          </w:pPr>
          <w:r w:rsidRPr="009A2444">
            <w:t>Travail en équipe, travail en réseau avec des interlocuteurs à distance</w:t>
          </w:r>
        </w:p>
        <w:p w:rsidR="0044207E" w:rsidRDefault="00B86F1F" w:rsidP="00247C3F">
          <w:pPr>
            <w:pStyle w:val="Bulletpoint"/>
          </w:pPr>
          <w:r>
            <w:t>Écoute</w:t>
          </w:r>
          <w:r w:rsidR="0044207E">
            <w:t>, patience, aptitude au dialogue</w:t>
          </w:r>
        </w:p>
        <w:p w:rsidR="0044207E" w:rsidRDefault="0044207E" w:rsidP="00247C3F">
          <w:pPr>
            <w:pStyle w:val="Bulletpoint"/>
          </w:pPr>
          <w:r>
            <w:t>Assertivité</w:t>
          </w:r>
        </w:p>
        <w:p w:rsidR="005D07F4" w:rsidRPr="00247C3F" w:rsidRDefault="00AC7FC9" w:rsidP="00247C3F">
          <w:pPr>
            <w:pStyle w:val="Bulletpoint"/>
          </w:pPr>
        </w:p>
        <w:permEnd w:id="1204445025"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557472841" w:edGrp="everyone" w:displacedByCustomXml="prev"/>
        <w:p w:rsidR="00B86F1F" w:rsidRDefault="009A2444" w:rsidP="00247C3F">
          <w:pPr>
            <w:pStyle w:val="Bulletpoint"/>
          </w:pPr>
          <w:r>
            <w:t>A</w:t>
          </w:r>
          <w:r w:rsidR="0044207E">
            <w:t>nticipation, or</w:t>
          </w:r>
          <w:r w:rsidR="00B86F1F">
            <w:t>gan</w:t>
          </w:r>
          <w:r w:rsidR="002456C3">
            <w:t xml:space="preserve">isation, </w:t>
          </w:r>
          <w:r w:rsidR="00B86F1F">
            <w:t>rigueur</w:t>
          </w:r>
          <w:r w:rsidR="002456C3">
            <w:t>, respect des calendriers</w:t>
          </w:r>
        </w:p>
        <w:p w:rsidR="009A2444" w:rsidRDefault="009A2444" w:rsidP="00247C3F">
          <w:pPr>
            <w:pStyle w:val="Bulletpoint"/>
          </w:pPr>
          <w:r>
            <w:t>Polyvalence, savoir gérer plusieurs dossiers en même temps</w:t>
          </w:r>
        </w:p>
        <w:p w:rsidR="002456C3" w:rsidRDefault="002456C3" w:rsidP="00247C3F">
          <w:pPr>
            <w:pStyle w:val="Bulletpoint"/>
          </w:pPr>
          <w:r>
            <w:t xml:space="preserve">Bonnes connaissances en informatique, en </w:t>
          </w:r>
          <w:r w:rsidR="00A35EEF">
            <w:t>particulier Excel ; maîtrise de</w:t>
          </w:r>
          <w:r>
            <w:t xml:space="preserve"> la bureautique en général</w:t>
          </w:r>
        </w:p>
        <w:p w:rsidR="00B86F1F" w:rsidRDefault="00B86F1F" w:rsidP="00247C3F">
          <w:pPr>
            <w:pStyle w:val="Bulletpoint"/>
          </w:pPr>
          <w:r>
            <w:t>Initiative, autonomie et capacité à rendre compte</w:t>
          </w:r>
        </w:p>
        <w:p w:rsidR="00C20DF2" w:rsidRDefault="00052F2D" w:rsidP="00056C39">
          <w:pPr>
            <w:pStyle w:val="Bulletpoint"/>
          </w:pPr>
          <w:r>
            <w:t>Connaissances en</w:t>
          </w:r>
          <w:r w:rsidR="00B86F1F">
            <w:t xml:space="preserve"> </w:t>
          </w:r>
          <w:r>
            <w:t>comptabilité</w:t>
          </w:r>
          <w:r w:rsidR="00B86F1F">
            <w:t>, commande publique</w:t>
          </w:r>
          <w:r w:rsidR="00C20DF2">
            <w:t xml:space="preserve"> </w:t>
          </w:r>
        </w:p>
        <w:p w:rsidR="005D07F4" w:rsidRPr="00247C3F" w:rsidRDefault="00AC7FC9" w:rsidP="00247C3F">
          <w:pPr>
            <w:pStyle w:val="Bulletpoint"/>
          </w:pPr>
        </w:p>
        <w:permEnd w:id="557472841" w:displacedByCustomXml="next"/>
      </w:sdtContent>
    </w:sdt>
    <w:p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1948537827" w:edGrp="everyone" w:displacedByCustomXml="prev"/>
        <w:p w:rsidR="002456C3" w:rsidRDefault="00B86F1F" w:rsidP="0084185C">
          <w:pPr>
            <w:pStyle w:val="Bulletpoint"/>
            <w:numPr>
              <w:ilvl w:val="0"/>
              <w:numId w:val="0"/>
            </w:numPr>
            <w:ind w:left="360"/>
          </w:pPr>
          <w:r>
            <w:t>Formation à des outils et logiciels spécifiques</w:t>
          </w:r>
          <w:r w:rsidR="0084185C">
            <w:t xml:space="preserve"> : </w:t>
          </w:r>
          <w:r w:rsidR="002456C3">
            <w:t xml:space="preserve">Grand Angle, </w:t>
          </w:r>
          <w:proofErr w:type="spellStart"/>
          <w:r w:rsidR="002456C3">
            <w:t>choruspro</w:t>
          </w:r>
          <w:proofErr w:type="spellEnd"/>
          <w:r w:rsidR="002456C3">
            <w:t>, I-parapheur</w:t>
          </w:r>
          <w:r w:rsidR="009A2444">
            <w:t xml:space="preserve">, </w:t>
          </w:r>
          <w:proofErr w:type="spellStart"/>
          <w:r w:rsidR="0084185C">
            <w:t>Globéo</w:t>
          </w:r>
          <w:proofErr w:type="spellEnd"/>
        </w:p>
        <w:p w:rsidR="0084185C" w:rsidRDefault="0084185C" w:rsidP="0084185C">
          <w:pPr>
            <w:pStyle w:val="Bulletpoint"/>
            <w:numPr>
              <w:ilvl w:val="0"/>
              <w:numId w:val="0"/>
            </w:numPr>
            <w:ind w:left="360"/>
          </w:pPr>
          <w:r>
            <w:t>Gestion budgétaire, comptabilité publique, marchés publics</w:t>
          </w:r>
        </w:p>
        <w:p w:rsidR="0084185C" w:rsidRDefault="0084185C" w:rsidP="0084185C">
          <w:pPr>
            <w:pStyle w:val="Bulletpoint"/>
            <w:numPr>
              <w:ilvl w:val="0"/>
              <w:numId w:val="0"/>
            </w:numPr>
            <w:ind w:left="360"/>
          </w:pPr>
          <w:r>
            <w:t>Connaissances des procédures administratives de la Ville de Rennes</w:t>
          </w:r>
        </w:p>
        <w:p w:rsidR="0084185C" w:rsidRDefault="0084185C" w:rsidP="0084185C">
          <w:pPr>
            <w:pStyle w:val="Bulletpoint"/>
            <w:numPr>
              <w:ilvl w:val="0"/>
              <w:numId w:val="0"/>
            </w:numPr>
            <w:ind w:left="360"/>
          </w:pPr>
          <w:r>
            <w:t>Connaissances juridiques liées aux interventions dans le champ de l'action culturelle</w:t>
          </w:r>
        </w:p>
        <w:p w:rsidR="00F760CE" w:rsidRPr="00247C3F" w:rsidRDefault="00AC7FC9"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p>
        <w:permEnd w:id="1948537827" w:displacedByCustomXml="next"/>
      </w:sdtContent>
    </w:sdt>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FC9" w:rsidRDefault="00AC7FC9" w:rsidP="000A11D1">
      <w:pPr>
        <w:spacing w:after="0" w:line="240" w:lineRule="auto"/>
      </w:pPr>
      <w:r>
        <w:separator/>
      </w:r>
    </w:p>
  </w:endnote>
  <w:endnote w:type="continuationSeparator" w:id="0">
    <w:p w:rsidR="00AC7FC9" w:rsidRDefault="00AC7FC9"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04" w:rsidRDefault="009C5C04"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FC9" w:rsidRDefault="00AC7FC9" w:rsidP="000A11D1">
      <w:pPr>
        <w:spacing w:after="0" w:line="240" w:lineRule="auto"/>
      </w:pPr>
      <w:r>
        <w:separator/>
      </w:r>
    </w:p>
  </w:footnote>
  <w:footnote w:type="continuationSeparator" w:id="0">
    <w:p w:rsidR="00AC7FC9" w:rsidRDefault="00AC7FC9"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52F2D"/>
    <w:rsid w:val="00056C39"/>
    <w:rsid w:val="000621CA"/>
    <w:rsid w:val="000A11D1"/>
    <w:rsid w:val="000C61A0"/>
    <w:rsid w:val="000E665E"/>
    <w:rsid w:val="000F3922"/>
    <w:rsid w:val="000F78DE"/>
    <w:rsid w:val="00111A26"/>
    <w:rsid w:val="00112C20"/>
    <w:rsid w:val="00113C29"/>
    <w:rsid w:val="00162CC3"/>
    <w:rsid w:val="00175113"/>
    <w:rsid w:val="001761E0"/>
    <w:rsid w:val="00192002"/>
    <w:rsid w:val="001A7D02"/>
    <w:rsid w:val="001C2759"/>
    <w:rsid w:val="001C37AD"/>
    <w:rsid w:val="001C67FC"/>
    <w:rsid w:val="001D0204"/>
    <w:rsid w:val="001F51E5"/>
    <w:rsid w:val="00211B0B"/>
    <w:rsid w:val="00217B51"/>
    <w:rsid w:val="00227EC7"/>
    <w:rsid w:val="002456C3"/>
    <w:rsid w:val="00247C3F"/>
    <w:rsid w:val="002517BF"/>
    <w:rsid w:val="00257FD3"/>
    <w:rsid w:val="002A1E44"/>
    <w:rsid w:val="002A7D75"/>
    <w:rsid w:val="002B004D"/>
    <w:rsid w:val="002C06EA"/>
    <w:rsid w:val="00361EF9"/>
    <w:rsid w:val="00383B26"/>
    <w:rsid w:val="003B6A5C"/>
    <w:rsid w:val="003D0A16"/>
    <w:rsid w:val="003D5D5E"/>
    <w:rsid w:val="003F2AFF"/>
    <w:rsid w:val="003F4609"/>
    <w:rsid w:val="003F6EE3"/>
    <w:rsid w:val="00441A2A"/>
    <w:rsid w:val="0044207E"/>
    <w:rsid w:val="004766C5"/>
    <w:rsid w:val="00487002"/>
    <w:rsid w:val="004B68EC"/>
    <w:rsid w:val="004E1D67"/>
    <w:rsid w:val="004F45FB"/>
    <w:rsid w:val="004F5AE1"/>
    <w:rsid w:val="00517090"/>
    <w:rsid w:val="00522023"/>
    <w:rsid w:val="00545562"/>
    <w:rsid w:val="005540E4"/>
    <w:rsid w:val="005547B5"/>
    <w:rsid w:val="00570B2A"/>
    <w:rsid w:val="00576D3F"/>
    <w:rsid w:val="005A5A08"/>
    <w:rsid w:val="005D07F4"/>
    <w:rsid w:val="005D3C00"/>
    <w:rsid w:val="005E2141"/>
    <w:rsid w:val="005E5EA4"/>
    <w:rsid w:val="0062708C"/>
    <w:rsid w:val="00644A3A"/>
    <w:rsid w:val="0069106C"/>
    <w:rsid w:val="006B0497"/>
    <w:rsid w:val="006C0253"/>
    <w:rsid w:val="006C191B"/>
    <w:rsid w:val="006D4F97"/>
    <w:rsid w:val="00710C49"/>
    <w:rsid w:val="00727967"/>
    <w:rsid w:val="00731272"/>
    <w:rsid w:val="007373C7"/>
    <w:rsid w:val="007577C5"/>
    <w:rsid w:val="00761476"/>
    <w:rsid w:val="00775D11"/>
    <w:rsid w:val="0078654D"/>
    <w:rsid w:val="007E2E4A"/>
    <w:rsid w:val="00800C51"/>
    <w:rsid w:val="008050C7"/>
    <w:rsid w:val="0084185C"/>
    <w:rsid w:val="00852326"/>
    <w:rsid w:val="00897B36"/>
    <w:rsid w:val="008A0CFD"/>
    <w:rsid w:val="008E70A6"/>
    <w:rsid w:val="008F6C33"/>
    <w:rsid w:val="009036A0"/>
    <w:rsid w:val="009328E9"/>
    <w:rsid w:val="00942238"/>
    <w:rsid w:val="00947755"/>
    <w:rsid w:val="00961F11"/>
    <w:rsid w:val="00981166"/>
    <w:rsid w:val="00984246"/>
    <w:rsid w:val="009868CA"/>
    <w:rsid w:val="009A2444"/>
    <w:rsid w:val="009A6FA7"/>
    <w:rsid w:val="009B220B"/>
    <w:rsid w:val="009C5C04"/>
    <w:rsid w:val="009D7201"/>
    <w:rsid w:val="00A35EEF"/>
    <w:rsid w:val="00A72C44"/>
    <w:rsid w:val="00A830BD"/>
    <w:rsid w:val="00AC1FC5"/>
    <w:rsid w:val="00AC7FC9"/>
    <w:rsid w:val="00AD4936"/>
    <w:rsid w:val="00AD50D1"/>
    <w:rsid w:val="00AD67AA"/>
    <w:rsid w:val="00AE5F03"/>
    <w:rsid w:val="00B17EA7"/>
    <w:rsid w:val="00B30F6F"/>
    <w:rsid w:val="00B82A3A"/>
    <w:rsid w:val="00B86F1F"/>
    <w:rsid w:val="00B86F95"/>
    <w:rsid w:val="00B871A6"/>
    <w:rsid w:val="00B91373"/>
    <w:rsid w:val="00BB4E47"/>
    <w:rsid w:val="00BC1EC3"/>
    <w:rsid w:val="00C13FA0"/>
    <w:rsid w:val="00C20DF2"/>
    <w:rsid w:val="00C229A5"/>
    <w:rsid w:val="00C51EE7"/>
    <w:rsid w:val="00C7552A"/>
    <w:rsid w:val="00C90A94"/>
    <w:rsid w:val="00CC2FE8"/>
    <w:rsid w:val="00CD4067"/>
    <w:rsid w:val="00D121FA"/>
    <w:rsid w:val="00D149FE"/>
    <w:rsid w:val="00D42DBD"/>
    <w:rsid w:val="00D669D3"/>
    <w:rsid w:val="00D70E17"/>
    <w:rsid w:val="00D819B2"/>
    <w:rsid w:val="00D87648"/>
    <w:rsid w:val="00DC06A7"/>
    <w:rsid w:val="00DD0DF6"/>
    <w:rsid w:val="00E44FB1"/>
    <w:rsid w:val="00E9567F"/>
    <w:rsid w:val="00E95DE2"/>
    <w:rsid w:val="00EB1524"/>
    <w:rsid w:val="00EB4993"/>
    <w:rsid w:val="00EC523A"/>
    <w:rsid w:val="00EF09BF"/>
    <w:rsid w:val="00EF76DF"/>
    <w:rsid w:val="00F011F6"/>
    <w:rsid w:val="00F051C3"/>
    <w:rsid w:val="00F237B9"/>
    <w:rsid w:val="00F33EBE"/>
    <w:rsid w:val="00F760CE"/>
    <w:rsid w:val="00FA0FE0"/>
    <w:rsid w:val="00FA6332"/>
    <w:rsid w:val="00FB5128"/>
    <w:rsid w:val="00FC0746"/>
    <w:rsid w:val="00FC2E13"/>
    <w:rsid w:val="00FD54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F02CD98AC17145ECA7660D5B9D7728CF"/>
        <w:category>
          <w:name w:val="Général"/>
          <w:gallery w:val="placeholder"/>
        </w:category>
        <w:types>
          <w:type w:val="bbPlcHdr"/>
        </w:types>
        <w:behaviors>
          <w:behavior w:val="content"/>
        </w:behaviors>
        <w:guid w:val="{2DC94BB3-AAA1-426D-AEB9-8B40ADE60170}"/>
      </w:docPartPr>
      <w:docPartBody>
        <w:p w:rsidR="00963701" w:rsidRDefault="00963701" w:rsidP="00963701">
          <w:pPr>
            <w:pStyle w:val="F02CD98AC17145ECA7660D5B9D7728CF"/>
          </w:pPr>
          <w:r>
            <w:rPr>
              <w:color w:val="808080" w:themeColor="background1" w:themeShade="80"/>
            </w:rPr>
            <w:t>Renseigner</w:t>
          </w:r>
          <w:r w:rsidRPr="0062708C">
            <w:rPr>
              <w:color w:val="808080" w:themeColor="background1" w:themeShade="80"/>
            </w:rPr>
            <w:t xml:space="preserve"> ici le nom du service.</w:t>
          </w:r>
        </w:p>
      </w:docPartBody>
    </w:docPart>
    <w:docPart>
      <w:docPartPr>
        <w:name w:val="B01D45D7F04B42B1BDB3729F3F6C6983"/>
        <w:category>
          <w:name w:val="Général"/>
          <w:gallery w:val="placeholder"/>
        </w:category>
        <w:types>
          <w:type w:val="bbPlcHdr"/>
        </w:types>
        <w:behaviors>
          <w:behavior w:val="content"/>
        </w:behaviors>
        <w:guid w:val="{2F6140C4-4491-4FF8-8C27-A97A1CCFE7EB}"/>
      </w:docPartPr>
      <w:docPartBody>
        <w:p w:rsidR="00963701" w:rsidRDefault="00963701" w:rsidP="00963701">
          <w:pPr>
            <w:pStyle w:val="B01D45D7F04B42B1BDB3729F3F6C6983"/>
          </w:pPr>
          <w:r>
            <w:rPr>
              <w:color w:val="808080" w:themeColor="background1" w:themeShade="80"/>
            </w:rPr>
            <w:t>Présenter</w:t>
          </w:r>
          <w:r w:rsidRPr="0062708C">
            <w:rPr>
              <w:color w:val="808080" w:themeColor="background1" w:themeShade="80"/>
            </w:rPr>
            <w:t xml:space="preserve"> l'équipe.</w:t>
          </w:r>
        </w:p>
      </w:docPartBody>
    </w:docPart>
    <w:docPart>
      <w:docPartPr>
        <w:name w:val="EFA5AC6BE2944BA5836872F990EBB9F8"/>
        <w:category>
          <w:name w:val="Général"/>
          <w:gallery w:val="placeholder"/>
        </w:category>
        <w:types>
          <w:type w:val="bbPlcHdr"/>
        </w:types>
        <w:behaviors>
          <w:behavior w:val="content"/>
        </w:behaviors>
        <w:guid w:val="{6CF8855B-B062-400C-8ED4-7D8E3C999CED}"/>
      </w:docPartPr>
      <w:docPartBody>
        <w:p w:rsidR="00963701" w:rsidRDefault="00963701" w:rsidP="00963701">
          <w:pPr>
            <w:pStyle w:val="EFA5AC6BE2944BA5836872F990EBB9F8"/>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1028F0"/>
    <w:rsid w:val="0010753C"/>
    <w:rsid w:val="00160328"/>
    <w:rsid w:val="00252495"/>
    <w:rsid w:val="005771A9"/>
    <w:rsid w:val="00607B92"/>
    <w:rsid w:val="0062663E"/>
    <w:rsid w:val="0067501D"/>
    <w:rsid w:val="00687675"/>
    <w:rsid w:val="006C6EAA"/>
    <w:rsid w:val="00745309"/>
    <w:rsid w:val="007E30F4"/>
    <w:rsid w:val="00833554"/>
    <w:rsid w:val="0084309E"/>
    <w:rsid w:val="00913AA5"/>
    <w:rsid w:val="0092355A"/>
    <w:rsid w:val="00963701"/>
    <w:rsid w:val="00A40AB3"/>
    <w:rsid w:val="00A826D4"/>
    <w:rsid w:val="00D700DC"/>
    <w:rsid w:val="00D92CCB"/>
    <w:rsid w:val="00E37D4C"/>
    <w:rsid w:val="00E80543"/>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F02CD98AC17145ECA7660D5B9D7728CF">
    <w:name w:val="F02CD98AC17145ECA7660D5B9D7728CF"/>
    <w:rsid w:val="00963701"/>
  </w:style>
  <w:style w:type="paragraph" w:customStyle="1" w:styleId="B01D45D7F04B42B1BDB3729F3F6C6983">
    <w:name w:val="B01D45D7F04B42B1BDB3729F3F6C6983"/>
    <w:rsid w:val="00963701"/>
  </w:style>
  <w:style w:type="paragraph" w:customStyle="1" w:styleId="EFA5AC6BE2944BA5836872F990EBB9F8">
    <w:name w:val="EFA5AC6BE2944BA5836872F990EBB9F8"/>
    <w:rsid w:val="00963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87504-42C2-4BE4-AEE6-1BAA75A3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0</TotalTime>
  <Pages>4</Pages>
  <Words>1163</Words>
  <Characters>6401</Characters>
  <Application>Microsoft Office Word</Application>
  <DocSecurity>8</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GONON Anne-Sophie</cp:lastModifiedBy>
  <cp:revision>2</cp:revision>
  <dcterms:created xsi:type="dcterms:W3CDTF">2025-12-05T15:38:00Z</dcterms:created>
  <dcterms:modified xsi:type="dcterms:W3CDTF">2025-12-05T15:38:00Z</dcterms:modified>
</cp:coreProperties>
</file>